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kern w:val="1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школа-интернат № 68»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kern w:val="1"/>
          <w:sz w:val="24"/>
          <w:szCs w:val="24"/>
          <w:lang w:eastAsia="ru-RU"/>
        </w:rPr>
        <w:t>г. Орск Оренбургской области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auto"/>
          <w:kern w:val="1"/>
          <w:sz w:val="24"/>
          <w:szCs w:val="24"/>
          <w:lang w:eastAsia="ru-RU"/>
        </w:rPr>
      </w:pPr>
    </w:p>
    <w:tbl>
      <w:tblPr>
        <w:tblStyle w:val="8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4  от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  » августа 2023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Директор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__________ Н.В. 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Приказ № 83/5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«31» августа 2023 г.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по русскому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 w:eastAsia="ru-RU"/>
        </w:rPr>
        <w:t xml:space="preserve"> языку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(вариант 2.2)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5 класса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на   2023- 2024 учебный год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tbl>
      <w:tblPr>
        <w:tblStyle w:val="8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6067"/>
      </w:tblGrid>
      <w:tr>
        <w:tc>
          <w:tcPr>
            <w:tcW w:w="3504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от «31» августа 2023 г.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Колиниченко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Мариной Александро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вной,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учителем русского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языка и литературы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высшей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Орск, 2023 год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color w:val="auto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</w:p>
    <w:p>
      <w:pPr>
        <w:pStyle w:val="23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Пояснительная записка.</w:t>
      </w:r>
    </w:p>
    <w:p>
      <w:pPr>
        <w:pStyle w:val="23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Исходными документами для составления рабочей программы являются:</w:t>
      </w:r>
    </w:p>
    <w:p>
      <w:pPr>
        <w:rPr>
          <w:rFonts w:hint="default" w:ascii="Times New Roman" w:hAnsi="Times New Roman" w:cs="Times New Roman"/>
          <w:i/>
          <w:iCs/>
          <w:color w:val="auto"/>
          <w:sz w:val="24"/>
          <w:szCs w:val="24"/>
          <w:u w:val="single"/>
        </w:rPr>
      </w:pPr>
    </w:p>
    <w:p>
      <w:pPr>
        <w:numPr>
          <w:ilvl w:val="0"/>
          <w:numId w:val="1"/>
        </w:numPr>
        <w:spacing w:after="0" w:line="240" w:lineRule="auto"/>
        <w:ind w:left="660" w:leftChars="0" w:hanging="660" w:hangingChars="275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Федеральный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29.12.2012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г.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№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273-ФЗ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«Об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Федерации» ст. 28;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sans-serif" w:cs="Times New Roman"/>
          <w:b w:val="0"/>
          <w:bCs w:val="0"/>
          <w:color w:val="auto"/>
          <w:sz w:val="24"/>
          <w:szCs w:val="24"/>
          <w:shd w:val="clear" w:color="auto" w:fill="FFFFFF"/>
        </w:rPr>
        <w:t>(Зарегистрирован 28.07.2023 № 74502)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</w:rPr>
        <w:t xml:space="preserve">Русский язык. Рабочие программы. Предметная линия учебников Т. А. Ладыженской, М. Т. Баранова, Л. А. Тростенцовой и других. 5—9 классы: учеб. пособие для обще образоват. организаций / [М. Т. Баранов, Т. А. Ладыженская, Н. М. Шанский и др.]. </w:t>
      </w:r>
    </w:p>
    <w:p>
      <w:pPr>
        <w:pStyle w:val="3"/>
        <w:numPr>
          <w:ilvl w:val="0"/>
          <w:numId w:val="1"/>
        </w:numPr>
        <w:shd w:val="clear" w:color="auto" w:fill="FFFFFF"/>
        <w:tabs>
          <w:tab w:val="left" w:pos="567"/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4"/>
          <w:szCs w:val="24"/>
        </w:rPr>
        <w:t>Учебный план на 2023 – 2024 учебный год ГКОУ «Специальная (коррекционная) школа-интерната № 68»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auto"/>
          <w:sz w:val="24"/>
          <w:szCs w:val="24"/>
          <w:lang w:val="ru-RU"/>
        </w:rPr>
        <w:t>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Рабочая программа по предмету «Русский язык»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  <w:t xml:space="preserve">(5 класс) 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адресована обучающимся с нарушениями слуха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(включая детей с кохлеарным имплантом)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.,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 первый год обучения на уровне ООО).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Свободное владение русским языком обеспечивает обучающимся с нарушениями слуха успешную интеграцию в общество.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color w:val="auto"/>
          <w:sz w:val="24"/>
          <w:szCs w:val="24"/>
        </w:rPr>
        <w:t>Цели изучения учебного предмета «</w:t>
      </w:r>
      <w:r>
        <w:rPr>
          <w:rFonts w:hint="default" w:ascii="Times New Roman" w:hAnsi="Times New Roman" w:eastAsia="SimSun" w:cs="Times New Roman"/>
          <w:i/>
          <w:iCs/>
          <w:color w:val="auto"/>
          <w:sz w:val="24"/>
          <w:szCs w:val="24"/>
          <w:lang w:val="ru-RU"/>
        </w:rPr>
        <w:t>Русский язык</w:t>
      </w:r>
      <w:r>
        <w:rPr>
          <w:rFonts w:hint="default" w:ascii="Times New Roman" w:hAnsi="Times New Roman" w:eastAsia="SimSun" w:cs="Times New Roman"/>
          <w:i/>
          <w:iCs/>
          <w:color w:val="auto"/>
          <w:sz w:val="24"/>
          <w:szCs w:val="24"/>
        </w:rPr>
        <w:t>»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слухоречевых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SimSun"/>
          <w:i/>
          <w:iCs/>
          <w:color w:val="auto"/>
          <w:sz w:val="24"/>
          <w:szCs w:val="24"/>
        </w:rPr>
      </w:pPr>
      <w:r>
        <w:rPr>
          <w:rFonts w:ascii="Times New Roman" w:hAnsi="Times New Roman" w:eastAsia="SimSun"/>
          <w:i/>
          <w:iCs/>
          <w:color w:val="auto"/>
          <w:sz w:val="24"/>
          <w:szCs w:val="24"/>
        </w:rPr>
        <w:t>Место предмета в учебном плане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Учебный предмет «Русский язык» входит в предметную область «Русский язык, литература» и является обязательным.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Учебный предмет «Русский язык» является общим для обучающихся с нормативным развитием и с нарушениями слуха, неразрывно связан с предметными дисциплинами «Развитие речи», «Литература», обеспечивая достижение обучающимися с нарушениями слуха образовательных результатов в сфере обучения языку и развития речи.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trike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Учебный план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ГКОУ «Специальная (коррекционная) школа-интерната № 68»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на изучение математики в 5 классе отводит 6 учебных часов в неделю, всего 204 учебных часа.</w:t>
      </w:r>
    </w:p>
    <w:p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Содержание учебного предмета/учебного курса/учебного модуля.</w:t>
      </w:r>
    </w:p>
    <w:p>
      <w:pPr>
        <w:spacing w:line="240" w:lineRule="atLeast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В содержание включены сведения по теории языка (правила, определения, другой теоретический материал), разделы и темы, направленные на практическое усвоение языка в разных его формах, темы, направленные на развитие читательских компетенций и универсальных учебных действий. В каждую тему раздела входит материал на повторение, а также материал на формирование грамматических навыков учащихся в сфере практического использования языковых единиц в собственной речи. Данный материал предлагается не для языкового анализа и изучения его в теоретическом аспекте, а в пропедевтических целях и в целях практического усвоения языковых единиц, что соответствует положениям коммуникативной системы обучении языку, обучающихся  с нарушением слуха.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5 КЛАСС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Общие сведения о языке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Богатство и выразительность русского языка.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Лингвистика как наука о языке.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Основные разделы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Язык и речь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Язык и речь.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Речь устная и письменная, монологическая и диалогическая, полилог.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Виды речевой деятельности (говорение, слушание, чтение, письмо), их особенности.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Устный пересказ прочитанного или прослушанного текста, в том числе с изменением лица рассказчика.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Речевые формулы приветствия, прощания, просьбы, благодарности.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Виды аудирования: выборочное, ознакомительное, детальное.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Виды чтения: изучающее, ознакомительное, просмотровое, поисковое.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Текст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Функционально-смысловые типы речи: описание, повествование, рассуждение; их особенности.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Повествование как тип речи. Рассказ.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Информационная переработка текста: простой и сложный план текста.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Функциональные разновидности языка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СИСТЕМА ЯЗЫКА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Фонетика. Графика. Орфоэпия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Фонетика и графика как разделы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Звук как единица языка. Смыслоразличительная роль звука.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Система гласных звуков.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Система согласных звуков.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Изменение звуков в речевом потоке. Элементы фонетической транскрипции.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Слог. Ударение. Свойства русского ударения.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Соотношение звуков и букв.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Фонетический анализ слова.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Способы обозначения [й’], мягкости согласных.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Основные выразительные средства фонетики.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Прописные и строчные буквы.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Интонация, её функции. Основные элементы интонации.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Орфография как раздел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Понятие «орфограмма». Буквенные и небуквенные орфограммы.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разделительных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ъ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Лексикология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Лексикология как раздел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Синонимы. Антонимы. Омонимы. Паронимы.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Лексический анализ слов (в 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Морфемика. Орфография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Морфемика как раздел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Чередование звуков в морфемах (в том числе чередование гласных с нулём звука).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Морфемный анализ слов.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Уместное использование слов с суффиксами оценки в собственной речи.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 xml:space="preserve">Правописание корней с проверяемыми, непроверяемыми,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непроизносимыми согласными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после шипящих в корне слова.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неизменяемых на письме приставок и приставок на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-з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после приставок.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после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Орфографический анализ слова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Морфология. Культура речи. Орфография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Морфология как раздел грамматики. Грамматическое значение слова.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Имя существительное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Род, число, падеж имени существительного.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Имена существительные общего рода.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Морфологический анализ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собственных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на конце имён существительных после шипящих.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безударных окончаний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 после шипящих 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в суффиксах и окончаниях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суффиксов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-чик-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-щик-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;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ек-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-ик-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чик-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 имён существительных.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корней с чередованием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//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: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лаг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лож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-;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раст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ращ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рос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-;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гар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гор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зар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зор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-;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-клан-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–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-клон-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-скак-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–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-скоч-.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Слитное и раздельное написание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с именами существительными.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Орфографический анализ имён существительных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Имя прилагательное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Имена прилагательные полные и краткие, их синтаксические функции.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Склонение имён прилагательных.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Морфологический анализ имён прилагательных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безударных окончаний имён прилагательных.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после шипящих 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в суффиксах и окончаниях имён прилагательных.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кратких форм имён прилагательных с основой на шипящий.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Слитное и раздельное написание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не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 именами прилагательными.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Орфографический анализ имён прилагательных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Глагол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Глаголы совершенного и несовершенного вида, возвратные и невозвратные.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Спряжение глагола.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Морфологический анализ глаголов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корней с чередованием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//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и: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бер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бир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блест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блист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дер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дир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жег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жиг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мер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мир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пер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пир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стел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стил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тер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 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тир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Использование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как показателя грамматической формы в инфинитиве, в форме 2-го лица единственного числа после шипящих.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-ться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в глаголах, суффиксов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 –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ева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-ыва- 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–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-ива-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безударных личных окончаний глагола.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Правописание гласной перед суффиксом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-л-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в формах прошедшего времени глагола.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Слитное и раздельное написание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с глаголами.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Орфографический анализ глаголов (в рамках изученного).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Синтаксис. Культура речи. Пунктуация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Синтаксис как раздел грамматики. Словосочетание и предложение как единицы синтаксиса.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Синтаксический анализ словосочетания.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Тире между подлежащим и сказуемым.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 союзами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однако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зато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(в значении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(в значении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). Предложения с обобщающим словом при однородных членах.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Предложения с обращением, особенности интонации. Обращение и средства его выражения.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Синтаксический анализ простого и простого осложнённого предложений.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 союзами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однако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зато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(в значении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(в значении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Пунктуационное оформление сложных предложений, состоящих из частей, связанных бессоюзной связью и союзами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но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однако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зато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, 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Предложения с прямой речью.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Пунктуационное оформление предложений с прямой речью.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Диалог.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Пунктуационное оформление диалога на письме.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Пунктуация как раздел лингвистики.</w:t>
      </w:r>
    </w:p>
    <w:p>
      <w:pPr>
        <w:pStyle w:val="16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567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Пунктуационный анализ предложения (в рамках изученного).</w:t>
      </w:r>
    </w:p>
    <w:p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Планируемые результаты освоения учебного предмета.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1) гражданского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волонтерство);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2) патриотического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3) духовно-нравственного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4) эстетического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умение принимать себя и других, не осуждая;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6) трудового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умение рассказать о своих планах на будущее;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7) экологического воспитания: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8) ценности научного познания: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9) адаптации обучающегося к изменяющимся условиям социальной и природной среды: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74"/>
        <w:spacing w:before="240"/>
        <w:ind w:firstLine="708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эффективно запоминать и систематизировать информацию.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проблемы для решения в учебных и жизненных ситуациях;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делать выбор и брать ответственность за решение.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давать адекватную оценку учебной ситуации и предлагать план ее изменения;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развивать способность управлять собственными эмоциями и эмоциями других;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осознанно относиться к другому человеку и его мнению;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признавать свое и чужое право на ошибку;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принимать себя и других, не осуждая;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проявлять открытость;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осознавать невозможность контролировать все вокруг.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совместной деятельности: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pStyle w:val="74"/>
        <w:spacing w:before="240"/>
        <w:ind w:firstLine="120" w:firstLineChars="5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 концу обучения в 5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Общие сведения о языке.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Язык и речь.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Создавать устные монологические высказывания объемом не менее 3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Участвовать в диалоге на лингвистические темы (в рамках изученного) и в диалоге или полилоге на основе жизненных наблюдений объемом не менее 3 реплик.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Устно пересказывать прочитанный текст объемом не менее 80 слов.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объемом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- не менее 95 слов).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на письме нормы современного русского литературного языка, включая списывание текста объемом 80 - 90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объемом 10 - 12 слов.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Текст.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основные признаки текста; членить текст на композиционносмысловые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(с опорой на заданный алгоритм и (или) с помощью педагогического работника) смысловой анализ текста, его композиционных особенностей, определять количество микротем и абзацев.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Прогнозировать (самостоятельно или с помощью педагогического работника) содержание текста по заголовку, ключевым словам, зачину или концовке.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Характеризовать (с опорой на заданный алгоритм и (или) с помощью педагогического работника)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Анализировать (самостоятельно и (или) с помощью педагогического работника)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знание основных признаков текста в практике его создания.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Создавать (с опорой на заданный алгоритм и (или) с помощью педагогического работника) тексты с опорой на жизненный и читательский опыт; тексты с опорой на произведения искусства; тексты с опорой на сюжетную и (или) пейзажную картину (в том числе сочинения-миниатюры; классные сочинения).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Создавать (с опорой на заданный алгоритм и (или) с помощью педагогического работника) высказывание на основе текста: выражать свое отношение к прочитанному или прослушанному в устной и письменной форме.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Находить в тексте (самостоятельно и (или) с помощью педагогического работника) типовые фрагменты (описание, повествование, рассуждение- доказательство, оценочные высказывания).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Владеть умениями информационной переработки прослушанного и (или) 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 и (или) с помощью педагогического работника)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Представлять сообщение на заданную тему в виде презентации.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Редактировать (самостоятельно и (или) с помощью педагогического работника)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Представлять содержание прослушанного и (или) 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Подробно и сжато передавать в устной и письменной форме содержание прослушанных и (или) воспринятых на слухозрительной основе и прочитанных текстов различных функционально-смысловых типов речи.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Функциональные разновидности языка.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Различать и анализировать (с опорой на заданный алгоритм и (или) с помощью педагогического работника) тексты разных жанров научного (учебнонаучного),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 и (или) с помощью педагогического работника).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Осуществлять исправление речевых недостатков, редактирование текста.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Фонетика. Графика. Орфоэпия.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фонетический анализ слов.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Орфография.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изученные орфограммы.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знания по орфографии в практике правописания (в том числе применять знание о правописании разделительных "ъ" и "ь").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Лексикология.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Характеризовать тематические группы слов, родовые и видовые понятия.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лексический анализ слов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Морфемика. Орфография.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Характеризовать морфему как минимальную значимую единицу языка.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Находить чередование звуков в морфемах (в том числе чередование гласных с нулем звука).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морфемный анализ слов.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"-з (-с)"; "ы -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- о" после шипящих в корне слова; "ы - и" после "ц".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Уместно использовать слова с суффиксами оценки в собственной речи.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Морфология. Культура речи. Орфография.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имена существительные, имена прилагательные, глаголы.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Имя существительное.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лексико-грамматические разряды имен существительных.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Различать типы склонения имен существительных, выявлять разносклоняемые и несклоняемые имена существительные.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морфологический анализ имен существительных.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правописания имен существительных: безударных окончаний; "о - е (е)" после шипящих и "ц" в суффиксах и окончаниях; суффиксов - "чик- - -щик-, -ек- - -ик- (-чик-)"; корней с чередованием "а // о": "-лаг- - -лож-; -раст- - -ращ- - -рос-; -гар- - -гор-, -зар- - -зор-; -клан клон-, -скак скоч-"; употребления или неупотребления "ь" на конце имен существительных после шипящих; слитное и раздельное написание "не" с именами существительными; правописание собственных имен существительных.</w:t>
      </w:r>
    </w:p>
    <w:p>
      <w:pPr>
        <w:pStyle w:val="74"/>
        <w:spacing w:before="240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Имя прилагательное.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частичный морфологический анализ имен прилагательных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правописания имен прилагательных: безударных окончаний; "о - е" после шипящих и "ц" в суффиксах и окончаниях; кратких форм имен прилагательных с основой на шипящие; нормы слитного и раздельного написания не с именами прилагательными.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Глагол.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Определять спряжение глагола, уметь спрягать глаголы.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Проводить частичный морфологический анализ глаголов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нормы правописания глаголов: корней с чередованием "е // и"; использования "ь" после шипящих как показателя грамматической формы в инфинитиве, в форме 2-го лица единственного числа; "-тся" и "-ться" в глаголах;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суффиксов "-ова ева-, -ыва ива-"; личных окончаний глагола, гласной перед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суффиксом "-л-" в формах прошедшего времени глагола; слитного и раздельного написания "не" с глаголами.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Синтаксис. Культура речи. Пунктуация.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>
      <w:pPr>
        <w:pStyle w:val="74"/>
        <w:spacing w:before="240"/>
        <w:ind w:firstLine="54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"и", союзами "а, но, однако, зато, да (в значении и), да (в значении но)";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"и, но, а, однако, зато, да"; оформлять на письме диалог.</w:t>
      </w:r>
    </w:p>
    <w:p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  <w:sectPr>
          <w:foot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Style w:val="8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127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.2) #0969da #0969da #fff8c5 #c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Общие сведения о языке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.2) #0969da #0969da #fff8c5 #c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Язык и речь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Текст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Система языка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.2) #0969da #0969da #fff8c5 #c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t>https://m.edsoo.ru/7f4131ce</w:t>
            </w:r>
            <w: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hAnsi="inherit" w:eastAsia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aps/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284"/>
          <w:tab w:val="left" w:pos="567"/>
          <w:tab w:val="left" w:pos="2835"/>
          <w:tab w:val="left" w:pos="3119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ranklin Gothic Book">
    <w:altName w:val="Yu Gothic UI"/>
    <w:panose1 w:val="020B0503020102020204"/>
    <w:charset w:val="CC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.2) #0969da #0969da #fff8c5 #c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237DC"/>
    <w:rsid w:val="00146E0B"/>
    <w:rsid w:val="00167446"/>
    <w:rsid w:val="001942B0"/>
    <w:rsid w:val="00194C61"/>
    <w:rsid w:val="001A675F"/>
    <w:rsid w:val="001B2EA5"/>
    <w:rsid w:val="001B5874"/>
    <w:rsid w:val="002035E1"/>
    <w:rsid w:val="002040E3"/>
    <w:rsid w:val="002060AE"/>
    <w:rsid w:val="002172C4"/>
    <w:rsid w:val="0023258C"/>
    <w:rsid w:val="002336CC"/>
    <w:rsid w:val="00247F23"/>
    <w:rsid w:val="00255F2A"/>
    <w:rsid w:val="00266AF0"/>
    <w:rsid w:val="002E1606"/>
    <w:rsid w:val="002E3EDC"/>
    <w:rsid w:val="00307DDF"/>
    <w:rsid w:val="00324DDC"/>
    <w:rsid w:val="00354630"/>
    <w:rsid w:val="003569B5"/>
    <w:rsid w:val="00371E59"/>
    <w:rsid w:val="003A289B"/>
    <w:rsid w:val="003A2D57"/>
    <w:rsid w:val="003C3136"/>
    <w:rsid w:val="003D2D16"/>
    <w:rsid w:val="003F4F89"/>
    <w:rsid w:val="004455EF"/>
    <w:rsid w:val="0046307A"/>
    <w:rsid w:val="00463151"/>
    <w:rsid w:val="0046644D"/>
    <w:rsid w:val="004D4339"/>
    <w:rsid w:val="004F3930"/>
    <w:rsid w:val="005469DD"/>
    <w:rsid w:val="005513F8"/>
    <w:rsid w:val="005538F1"/>
    <w:rsid w:val="00563BED"/>
    <w:rsid w:val="00572B2A"/>
    <w:rsid w:val="00587AA5"/>
    <w:rsid w:val="005A59EF"/>
    <w:rsid w:val="005A76BB"/>
    <w:rsid w:val="005B179C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D0671"/>
    <w:rsid w:val="007D5D07"/>
    <w:rsid w:val="007E01B3"/>
    <w:rsid w:val="00826F9B"/>
    <w:rsid w:val="00873541"/>
    <w:rsid w:val="00877C0D"/>
    <w:rsid w:val="00894980"/>
    <w:rsid w:val="008D1C35"/>
    <w:rsid w:val="008D3558"/>
    <w:rsid w:val="008E158D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F5AC0"/>
    <w:rsid w:val="00A3603D"/>
    <w:rsid w:val="00A4076D"/>
    <w:rsid w:val="00A54024"/>
    <w:rsid w:val="00A666DC"/>
    <w:rsid w:val="00A854C9"/>
    <w:rsid w:val="00AD24F9"/>
    <w:rsid w:val="00AD2D11"/>
    <w:rsid w:val="00AD36B2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D103A2"/>
    <w:rsid w:val="00D163F5"/>
    <w:rsid w:val="00D313D3"/>
    <w:rsid w:val="00D46435"/>
    <w:rsid w:val="00D520F2"/>
    <w:rsid w:val="00D56E22"/>
    <w:rsid w:val="00D61977"/>
    <w:rsid w:val="00D64061"/>
    <w:rsid w:val="00D85AAD"/>
    <w:rsid w:val="00DA2B8C"/>
    <w:rsid w:val="00DD5ED8"/>
    <w:rsid w:val="00DE3BA3"/>
    <w:rsid w:val="00DF0523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097E7F9F"/>
    <w:rsid w:val="09F66964"/>
    <w:rsid w:val="14973972"/>
    <w:rsid w:val="203B3D71"/>
    <w:rsid w:val="29D54C78"/>
    <w:rsid w:val="30A80C2E"/>
    <w:rsid w:val="30CA2EEF"/>
    <w:rsid w:val="34717917"/>
    <w:rsid w:val="352476BD"/>
    <w:rsid w:val="356429D9"/>
    <w:rsid w:val="38A87AAB"/>
    <w:rsid w:val="3E8D36EF"/>
    <w:rsid w:val="43D30DE6"/>
    <w:rsid w:val="48310C7F"/>
    <w:rsid w:val="4BA515A6"/>
    <w:rsid w:val="4FD757BB"/>
    <w:rsid w:val="52011590"/>
    <w:rsid w:val="6448522B"/>
    <w:rsid w:val="735E3FC6"/>
    <w:rsid w:val="7B2D3022"/>
    <w:rsid w:val="7C2A3307"/>
    <w:rsid w:val="7E7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qFormat/>
    <w:locked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71"/>
    <w:unhideWhenUsed/>
    <w:qFormat/>
    <w:locked/>
    <w:uiPriority w:val="9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hAnsi="Times New Roman" w:eastAsia="Times New Roman"/>
      <w:sz w:val="24"/>
      <w:szCs w:val="24"/>
    </w:rPr>
  </w:style>
  <w:style w:type="paragraph" w:styleId="5">
    <w:name w:val="heading 4"/>
    <w:basedOn w:val="1"/>
    <w:next w:val="1"/>
    <w:link w:val="69"/>
    <w:unhideWhenUsed/>
    <w:qFormat/>
    <w:locked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70"/>
    <w:unhideWhenUsed/>
    <w:qFormat/>
    <w:locked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40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36"/>
    <w:qFormat/>
    <w:uiPriority w:val="1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11">
    <w:name w:val="footer"/>
    <w:basedOn w:val="1"/>
    <w:link w:val="35"/>
    <w:qFormat/>
    <w:uiPriority w:val="0"/>
    <w:pPr>
      <w:tabs>
        <w:tab w:val="center" w:pos="4677"/>
        <w:tab w:val="right" w:pos="9355"/>
      </w:tabs>
    </w:pPr>
  </w:style>
  <w:style w:type="character" w:styleId="12">
    <w:name w:val="footnote reference"/>
    <w:unhideWhenUsed/>
    <w:qFormat/>
    <w:uiPriority w:val="0"/>
    <w:rPr>
      <w:vertAlign w:val="superscript"/>
    </w:rPr>
  </w:style>
  <w:style w:type="paragraph" w:styleId="13">
    <w:name w:val="footnote text"/>
    <w:basedOn w:val="1"/>
    <w:link w:val="51"/>
    <w:unhideWhenUsed/>
    <w:qFormat/>
    <w:uiPriority w:val="0"/>
    <w:pPr>
      <w:spacing w:after="200" w:line="276" w:lineRule="auto"/>
    </w:pPr>
    <w:rPr>
      <w:sz w:val="20"/>
      <w:szCs w:val="20"/>
    </w:rPr>
  </w:style>
  <w:style w:type="paragraph" w:styleId="14">
    <w:name w:val="header"/>
    <w:basedOn w:val="1"/>
    <w:link w:val="34"/>
    <w:qFormat/>
    <w:uiPriority w:val="0"/>
    <w:pPr>
      <w:tabs>
        <w:tab w:val="center" w:pos="4677"/>
        <w:tab w:val="right" w:pos="9355"/>
      </w:tabs>
    </w:pPr>
  </w:style>
  <w:style w:type="character" w:styleId="15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7">
    <w:name w:val="page number"/>
    <w:basedOn w:val="7"/>
    <w:qFormat/>
    <w:uiPriority w:val="0"/>
  </w:style>
  <w:style w:type="character" w:styleId="18">
    <w:name w:val="Strong"/>
    <w:basedOn w:val="7"/>
    <w:qFormat/>
    <w:locked/>
    <w:uiPriority w:val="22"/>
    <w:rPr>
      <w:b/>
      <w:bCs/>
    </w:rPr>
  </w:style>
  <w:style w:type="table" w:styleId="19">
    <w:name w:val="Table Grid"/>
    <w:basedOn w:val="8"/>
    <w:qFormat/>
    <w:locked/>
    <w:uiPriority w:val="59"/>
    <w:pPr>
      <w:spacing w:after="160" w:line="252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link w:val="53"/>
    <w:qFormat/>
    <w:locked/>
    <w:uiPriority w:val="0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21">
    <w:name w:val="Заголовок 1 Знак"/>
    <w:basedOn w:val="7"/>
    <w:link w:val="2"/>
    <w:qFormat/>
    <w:locked/>
    <w:uiPriority w:val="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7"/>
    <w:link w:val="3"/>
    <w:qFormat/>
    <w:locked/>
    <w:uiPriority w:val="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customStyle="1" w:styleId="24">
    <w:name w:val="Font Style21"/>
    <w:qFormat/>
    <w:uiPriority w:val="0"/>
    <w:rPr>
      <w:rFonts w:ascii="Times New Roman" w:hAnsi="Times New Roman"/>
      <w:sz w:val="26"/>
    </w:rPr>
  </w:style>
  <w:style w:type="paragraph" w:customStyle="1" w:styleId="25">
    <w:name w:val="Style13"/>
    <w:basedOn w:val="1"/>
    <w:uiPriority w:val="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6">
    <w:name w:val="Абзац списка1"/>
    <w:basedOn w:val="1"/>
    <w:link w:val="28"/>
    <w:qFormat/>
    <w:uiPriority w:val="0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27">
    <w:name w:val="List Paragraph"/>
    <w:basedOn w:val="1"/>
    <w:qFormat/>
    <w:uiPriority w:val="1"/>
    <w:pPr>
      <w:ind w:left="720"/>
      <w:contextualSpacing/>
    </w:pPr>
  </w:style>
  <w:style w:type="character" w:customStyle="1" w:styleId="28">
    <w:name w:val="List Paragraph Char"/>
    <w:link w:val="26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29">
    <w:name w:val="Абзац списка2"/>
    <w:basedOn w:val="1"/>
    <w:uiPriority w:val="99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30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1">
    <w:name w:val="Font Style32"/>
    <w:qFormat/>
    <w:uiPriority w:val="99"/>
    <w:rPr>
      <w:rFonts w:ascii="Franklin Gothic Book" w:hAnsi="Franklin Gothic Book"/>
      <w:b/>
      <w:sz w:val="18"/>
    </w:rPr>
  </w:style>
  <w:style w:type="character" w:customStyle="1" w:styleId="32">
    <w:name w:val="Font Style11"/>
    <w:qFormat/>
    <w:uiPriority w:val="0"/>
    <w:rPr>
      <w:rFonts w:ascii="Times New Roman" w:hAnsi="Times New Roman"/>
      <w:sz w:val="30"/>
    </w:rPr>
  </w:style>
  <w:style w:type="paragraph" w:customStyle="1" w:styleId="33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4">
    <w:name w:val="Верхний колонтитул Знак"/>
    <w:basedOn w:val="7"/>
    <w:link w:val="14"/>
    <w:qFormat/>
    <w:locked/>
    <w:uiPriority w:val="0"/>
    <w:rPr>
      <w:rFonts w:cs="Times New Roman"/>
      <w:lang w:eastAsia="en-US"/>
    </w:rPr>
  </w:style>
  <w:style w:type="character" w:customStyle="1" w:styleId="35">
    <w:name w:val="Нижний колонтитул Знак"/>
    <w:basedOn w:val="7"/>
    <w:link w:val="11"/>
    <w:qFormat/>
    <w:locked/>
    <w:uiPriority w:val="0"/>
    <w:rPr>
      <w:rFonts w:cs="Times New Roman"/>
      <w:lang w:eastAsia="en-US"/>
    </w:rPr>
  </w:style>
  <w:style w:type="character" w:customStyle="1" w:styleId="36">
    <w:name w:val="Основной текст Знак"/>
    <w:link w:val="10"/>
    <w:qFormat/>
    <w:uiPriority w:val="1"/>
    <w:rPr>
      <w:sz w:val="24"/>
      <w:szCs w:val="24"/>
      <w:lang w:eastAsia="en-US"/>
    </w:rPr>
  </w:style>
  <w:style w:type="character" w:customStyle="1" w:styleId="37">
    <w:name w:val="Основной текст Знак1"/>
    <w:basedOn w:val="7"/>
    <w:semiHidden/>
    <w:qFormat/>
    <w:uiPriority w:val="99"/>
    <w:rPr>
      <w:lang w:eastAsia="en-US"/>
    </w:rPr>
  </w:style>
  <w:style w:type="character" w:customStyle="1" w:styleId="38">
    <w:name w:val="Неразрешенное упоминание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Font Style23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40">
    <w:name w:val="Текст выноски Знак"/>
    <w:link w:val="9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1">
    <w:name w:val="c10"/>
    <w:basedOn w:val="7"/>
    <w:qFormat/>
    <w:uiPriority w:val="0"/>
  </w:style>
  <w:style w:type="character" w:customStyle="1" w:styleId="42">
    <w:name w:val="c39"/>
    <w:basedOn w:val="7"/>
    <w:qFormat/>
    <w:uiPriority w:val="0"/>
  </w:style>
  <w:style w:type="character" w:customStyle="1" w:styleId="43">
    <w:name w:val="Основной текст + 9"/>
    <w:qFormat/>
    <w:uiPriority w:val="0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44">
    <w:name w:val="Основной текст + Candara"/>
    <w:qFormat/>
    <w:uiPriority w:val="0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45">
    <w:name w:val="Основной текст_"/>
    <w:link w:val="46"/>
    <w:qFormat/>
    <w:locked/>
    <w:uiPriority w:val="0"/>
    <w:rPr>
      <w:b/>
      <w:bCs/>
      <w:sz w:val="21"/>
      <w:szCs w:val="21"/>
      <w:shd w:val="clear" w:color="auto" w:fill="FFFFFF"/>
    </w:rPr>
  </w:style>
  <w:style w:type="paragraph" w:customStyle="1" w:styleId="46">
    <w:name w:val="Основной текст1"/>
    <w:basedOn w:val="1"/>
    <w:link w:val="45"/>
    <w:qFormat/>
    <w:uiPriority w:val="0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47">
    <w:name w:val="Font Style13"/>
    <w:qFormat/>
    <w:uiPriority w:val="0"/>
    <w:rPr>
      <w:rFonts w:ascii="Microsoft Sans Serif" w:hAnsi="Microsoft Sans Serif"/>
      <w:b/>
      <w:spacing w:val="-10"/>
      <w:sz w:val="24"/>
    </w:rPr>
  </w:style>
  <w:style w:type="character" w:customStyle="1" w:styleId="48">
    <w:name w:val="Font Style12"/>
    <w:qFormat/>
    <w:uiPriority w:val="0"/>
    <w:rPr>
      <w:rFonts w:ascii="Times New Roman" w:hAnsi="Times New Roman"/>
      <w:sz w:val="24"/>
    </w:rPr>
  </w:style>
  <w:style w:type="character" w:customStyle="1" w:styleId="49">
    <w:name w:val="s1"/>
    <w:qFormat/>
    <w:uiPriority w:val="99"/>
    <w:rPr>
      <w:rFonts w:cs="Times New Roman"/>
    </w:rPr>
  </w:style>
  <w:style w:type="character" w:customStyle="1" w:styleId="50">
    <w:name w:val="Текст выноски Знак1"/>
    <w:basedOn w:val="7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51">
    <w:name w:val="Текст сноски Знак"/>
    <w:basedOn w:val="7"/>
    <w:link w:val="13"/>
    <w:qFormat/>
    <w:uiPriority w:val="0"/>
    <w:rPr>
      <w:sz w:val="20"/>
      <w:szCs w:val="20"/>
      <w:lang w:eastAsia="en-US"/>
    </w:rPr>
  </w:style>
  <w:style w:type="character" w:customStyle="1" w:styleId="52">
    <w:name w:val="Верхний колонтитул Знак1"/>
    <w:basedOn w:val="7"/>
    <w:semiHidden/>
    <w:qFormat/>
    <w:uiPriority w:val="99"/>
    <w:rPr>
      <w:sz w:val="22"/>
      <w:szCs w:val="22"/>
      <w:lang w:eastAsia="en-US"/>
    </w:rPr>
  </w:style>
  <w:style w:type="character" w:customStyle="1" w:styleId="53">
    <w:name w:val="Название Знак"/>
    <w:basedOn w:val="7"/>
    <w:link w:val="20"/>
    <w:qFormat/>
    <w:uiPriority w:val="0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5">
    <w:name w:val="Style15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6">
    <w:name w:val="Style14"/>
    <w:basedOn w:val="1"/>
    <w:uiPriority w:val="0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7">
    <w:name w:val="Style11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8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60">
    <w:name w:val="Абзац списка3"/>
    <w:basedOn w:val="1"/>
    <w:qFormat/>
    <w:uiPriority w:val="0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61">
    <w:name w:val="Style9"/>
    <w:basedOn w:val="1"/>
    <w:qFormat/>
    <w:uiPriority w:val="0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hAnsi="Microsoft Sans Serif" w:eastAsia="Times New Roman"/>
      <w:sz w:val="24"/>
      <w:szCs w:val="24"/>
      <w:lang w:eastAsia="ru-RU"/>
    </w:rPr>
  </w:style>
  <w:style w:type="paragraph" w:customStyle="1" w:styleId="62">
    <w:name w:val="Style8"/>
    <w:basedOn w:val="1"/>
    <w:qFormat/>
    <w:uiPriority w:val="0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hAnsi="Microsoft Sans Serif" w:eastAsia="Times New Roman"/>
      <w:sz w:val="24"/>
      <w:szCs w:val="24"/>
      <w:lang w:eastAsia="ru-RU"/>
    </w:rPr>
  </w:style>
  <w:style w:type="paragraph" w:customStyle="1" w:styleId="63">
    <w:name w:val="Style7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eastAsia="Times New Roman"/>
      <w:sz w:val="24"/>
      <w:szCs w:val="24"/>
      <w:lang w:eastAsia="ru-RU"/>
    </w:rPr>
  </w:style>
  <w:style w:type="paragraph" w:customStyle="1" w:styleId="64">
    <w:name w:val="Style4"/>
    <w:basedOn w:val="1"/>
    <w:uiPriority w:val="0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hAnsi="Microsoft Sans Serif" w:eastAsia="Times New Roman"/>
      <w:sz w:val="24"/>
      <w:szCs w:val="24"/>
      <w:lang w:eastAsia="ru-RU"/>
    </w:rPr>
  </w:style>
  <w:style w:type="paragraph" w:customStyle="1" w:styleId="65">
    <w:name w:val="Style2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table" w:customStyle="1" w:styleId="66">
    <w:name w:val="Сетка таблиц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">
    <w:name w:val="Сетка таблицы3"/>
    <w:basedOn w:val="8"/>
    <w:uiPriority w:val="3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Сетка таблицы2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Заголовок 4 Знак"/>
    <w:basedOn w:val="7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sz w:val="22"/>
      <w:szCs w:val="22"/>
      <w:lang w:eastAsia="en-US"/>
    </w:rPr>
  </w:style>
  <w:style w:type="character" w:customStyle="1" w:styleId="70">
    <w:name w:val="Заголовок 5 Знак"/>
    <w:basedOn w:val="7"/>
    <w:link w:val="6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2"/>
      <w:szCs w:val="22"/>
      <w:lang w:eastAsia="en-US"/>
    </w:rPr>
  </w:style>
  <w:style w:type="character" w:customStyle="1" w:styleId="71">
    <w:name w:val="Заголовок 3 Знак"/>
    <w:basedOn w:val="7"/>
    <w:link w:val="4"/>
    <w:qFormat/>
    <w:uiPriority w:val="9"/>
    <w:rPr>
      <w:rFonts w:eastAsia="Times New Roman"/>
      <w:sz w:val="24"/>
      <w:szCs w:val="24"/>
      <w:lang w:eastAsia="en-US"/>
    </w:rPr>
  </w:style>
  <w:style w:type="table" w:customStyle="1" w:styleId="72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3">
    <w:name w:val="Нет"/>
    <w:qFormat/>
    <w:uiPriority w:val="0"/>
  </w:style>
  <w:style w:type="paragraph" w:customStyle="1" w:styleId="74">
    <w:name w:val="ConsPlusNormal"/>
    <w:unhideWhenUsed/>
    <w:uiPriority w:val="0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7584</Words>
  <Characters>43230</Characters>
  <Lines>360</Lines>
  <Paragraphs>101</Paragraphs>
  <TotalTime>0</TotalTime>
  <ScaleCrop>false</ScaleCrop>
  <LinksUpToDate>false</LinksUpToDate>
  <CharactersWithSpaces>50713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2023-09-09T14:01:00Z</dcterms:created>
  <dc:creator>admin</dc:creator>
  <cp:lastModifiedBy>Asus</cp:lastModifiedBy>
  <cp:lastPrinted>2022-08-31T04:41:00Z</cp:lastPrinted>
  <dcterms:modified xsi:type="dcterms:W3CDTF">2023-10-28T10:57:50Z</dcterms:modified>
  <dc:title>Государственное казенное общеобразовательное учреждение «Специальная (коррекционная) школа-интернат № 68»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59150A9C9F15439A92DF529C0C2EBF04</vt:lpwstr>
  </property>
</Properties>
</file>